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jc w:val="center"/>
        <w:tblLayout w:type="fixed"/>
        <w:tblLook w:val="01E0"/>
      </w:tblPr>
      <w:tblGrid>
        <w:gridCol w:w="3005"/>
        <w:gridCol w:w="3260"/>
        <w:gridCol w:w="1843"/>
        <w:gridCol w:w="1276"/>
        <w:gridCol w:w="709"/>
      </w:tblGrid>
      <w:tr w:rsidR="00D412C8" w:rsidRPr="00B62F30" w:rsidTr="002C2D95">
        <w:trPr>
          <w:tblHeader/>
          <w:jc w:val="center"/>
        </w:trPr>
        <w:tc>
          <w:tcPr>
            <w:tcW w:w="3005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AB2A2E" w:rsidP="002C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E">
              <w:rPr>
                <w:noProof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7.8pt;margin-top:-51pt;width:318.2pt;height:41.75pt;z-index:251660288;mso-position-horizontal-relative:text;mso-position-vertical-relative:text" fillcolor="#069" stroked="f" strokeweight="2.25pt">
                  <v:textbox style="mso-next-textbox:#_x0000_s1027">
                    <w:txbxContent>
                      <w:p w:rsidR="004A1E4C" w:rsidRDefault="004A1E4C" w:rsidP="002C2D95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 w:rsidRPr="00B20723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Protocole de référence du secteur des jeunes vers un centre d’éducation des adultes</w:t>
                        </w:r>
                      </w:p>
                      <w:p w:rsidR="004A1E4C" w:rsidRPr="001D253C" w:rsidRDefault="004A1E4C" w:rsidP="002C2D95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412C8" w:rsidRPr="00B62F30">
              <w:rPr>
                <w:rFonts w:ascii="Arial" w:hAnsi="Arial" w:cs="Arial"/>
                <w:sz w:val="20"/>
                <w:szCs w:val="20"/>
              </w:rPr>
              <w:t>Différentes situations</w:t>
            </w:r>
          </w:p>
          <w:p w:rsidR="00D412C8" w:rsidRPr="00B62F30" w:rsidRDefault="00D412C8" w:rsidP="002C2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de référence</w:t>
            </w:r>
          </w:p>
        </w:tc>
        <w:tc>
          <w:tcPr>
            <w:tcW w:w="3260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2C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Actions à poser</w:t>
            </w:r>
          </w:p>
        </w:tc>
        <w:tc>
          <w:tcPr>
            <w:tcW w:w="1843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2C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Personne(s) responsable(s)</w:t>
            </w:r>
          </w:p>
        </w:tc>
        <w:tc>
          <w:tcPr>
            <w:tcW w:w="1276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2C2D95">
            <w:pPr>
              <w:ind w:left="1378" w:hanging="1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Échéancier</w:t>
            </w:r>
          </w:p>
        </w:tc>
        <w:tc>
          <w:tcPr>
            <w:tcW w:w="709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412C8" w:rsidRPr="00B62F30" w:rsidRDefault="00D412C8" w:rsidP="002C2D95">
            <w:pPr>
              <w:ind w:left="1378" w:hanging="137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Remplir</w:t>
            </w:r>
          </w:p>
          <w:p w:rsidR="00D412C8" w:rsidRPr="00B62F30" w:rsidRDefault="00D412C8" w:rsidP="002C2D95">
            <w:pPr>
              <w:ind w:left="1378" w:hanging="137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l’outil de</w:t>
            </w:r>
          </w:p>
          <w:p w:rsidR="00D412C8" w:rsidRPr="00B62F30" w:rsidRDefault="00D412C8" w:rsidP="002C2D95">
            <w:pPr>
              <w:jc w:val="center"/>
              <w:rPr>
                <w:rFonts w:ascii="Arial" w:hAnsi="Arial" w:cs="Arial"/>
                <w:color w:val="800080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référence</w:t>
            </w:r>
          </w:p>
        </w:tc>
      </w:tr>
      <w:tr w:rsidR="00D412C8" w:rsidRPr="00B62F30" w:rsidTr="002C2D95">
        <w:trPr>
          <w:trHeight w:val="2057"/>
          <w:jc w:val="center"/>
        </w:trPr>
        <w:tc>
          <w:tcPr>
            <w:tcW w:w="3005" w:type="dxa"/>
            <w:tcBorders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spacing w:after="120"/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  <w:t>Situation 1.1</w:t>
            </w:r>
          </w:p>
          <w:p w:rsidR="00D412C8" w:rsidRPr="00E310D7" w:rsidRDefault="00D412C8" w:rsidP="002C2D9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Élève inscrit au secteur des jeunes jusqu’en juin et qui est référé au centre d’éducation des adultes lors de la période de l’opération référence.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Remplir l’outil de référence.</w:t>
            </w:r>
          </w:p>
          <w:p w:rsidR="00D412C8" w:rsidRPr="00E310D7" w:rsidRDefault="00D412C8" w:rsidP="002C2D95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Acheminer l’outil de référence au Service d’accueil, de référence, de conseil et d’accompagnement (SARCA).</w:t>
            </w:r>
          </w:p>
          <w:p w:rsidR="00D412C8" w:rsidRPr="00E310D7" w:rsidRDefault="00D412C8" w:rsidP="002C2D95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 Remettre à l’élève la lettre précisant la date de la rencontre d’information.</w:t>
            </w:r>
          </w:p>
          <w:p w:rsidR="00D412C8" w:rsidRPr="00E310D7" w:rsidRDefault="00D412C8" w:rsidP="002C2D95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En juin, faire parvenir le dossier d’aide particulière s’il y a lieu.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Les directions adjointes des écoles secondaires responsables du niveau de l’élève ou les conseillers et conseillères en orientation ou en formation des écoles secondaires.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Selon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- le calendrier de l’opération de référence au secondaire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ou 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- jusqu'à la date de la 2</w:t>
            </w:r>
            <w:r w:rsidRPr="00E310D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E310D7">
              <w:rPr>
                <w:rFonts w:ascii="Arial" w:hAnsi="Arial" w:cs="Arial"/>
                <w:sz w:val="16"/>
                <w:szCs w:val="16"/>
              </w:rPr>
              <w:t xml:space="preserve"> rencontre d’information 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en FGA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2C8" w:rsidRPr="00B62F30" w:rsidTr="002C2D95">
        <w:trPr>
          <w:trHeight w:val="1794"/>
          <w:jc w:val="center"/>
        </w:trPr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spacing w:after="120"/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  <w:t>Situation 1.2</w:t>
            </w:r>
          </w:p>
          <w:p w:rsidR="00D412C8" w:rsidRPr="00E310D7" w:rsidRDefault="00D412C8" w:rsidP="002C2D95">
            <w:pPr>
              <w:tabs>
                <w:tab w:val="left" w:pos="18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Élève n’ayant pas été référé à l’éducation des adultes lors de la période de référence ou suite à l’échéancier cité au point 1.1, mais qui souhaite s’y inscrire après ce délai. </w:t>
            </w:r>
          </w:p>
          <w:p w:rsidR="00D412C8" w:rsidRPr="00E310D7" w:rsidRDefault="00D412C8" w:rsidP="002C2D95">
            <w:pPr>
              <w:tabs>
                <w:tab w:val="left" w:pos="180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L’élève est rencontré par le conseiller du secteur des jeunes.  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Remplir l’outil de référence.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Remettre l’outil de référence à l’élève et celui-ci devra se présenter aux SARCA du Centre multiservice selon l’horaire régulier des inscriptions (vous référer au site Internet du centre).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Conseillers et conseillères en orientation ou en formation des écoles secondaires.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À la suite des échéanciers cités au point 1.1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</w:tr>
      <w:tr w:rsidR="00D412C8" w:rsidRPr="00B62F30" w:rsidTr="002C2D95">
        <w:trPr>
          <w:trHeight w:val="2590"/>
          <w:jc w:val="center"/>
        </w:trPr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spacing w:after="120"/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  <w:t>Situation 2</w:t>
            </w:r>
          </w:p>
          <w:p w:rsidR="00D412C8" w:rsidRPr="00E310D7" w:rsidRDefault="00D412C8" w:rsidP="002C2D95">
            <w:pPr>
              <w:tabs>
                <w:tab w:val="left" w:pos="18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Élève qui désire quitter le secteur des jeunes durant l’année en cours et être référé à l’éducation des adultes.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L’élève est rencontré par le conseiller du secteur des jeunes ou par le conseiller PPS.  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Remplir l’outil de référence et joindre les documents requis incluant l’avis de départ et les remettre à l’élève.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L’élève devra procéder à son inscription au SARCA du centre concerné selon les périodes d’inscription.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b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Faire suivre le dossier d’aide particulière s’il y a lieu.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Conseillers et conseillères en orientation ou en formation ou les directions ou les directions adjointes des écoles secondaires responsables du niveau de l’élève.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En tout temps durant l’année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</w:tr>
      <w:tr w:rsidR="00D412C8" w:rsidRPr="00B62F30" w:rsidTr="002C2D95">
        <w:trPr>
          <w:trHeight w:val="2798"/>
          <w:jc w:val="center"/>
        </w:trPr>
        <w:tc>
          <w:tcPr>
            <w:tcW w:w="3005" w:type="dxa"/>
            <w:tcBorders>
              <w:top w:val="dotted" w:sz="4" w:space="0" w:color="auto"/>
              <w:bottom w:val="single" w:sz="24" w:space="0" w:color="993366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spacing w:after="120"/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i/>
                <w:color w:val="800080"/>
                <w:sz w:val="16"/>
                <w:szCs w:val="16"/>
              </w:rPr>
              <w:t>Situation 3</w:t>
            </w:r>
          </w:p>
          <w:p w:rsidR="00D412C8" w:rsidRPr="00E310D7" w:rsidRDefault="00D412C8" w:rsidP="002C2D95">
            <w:pPr>
              <w:tabs>
                <w:tab w:val="left" w:pos="18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 xml:space="preserve">Élève inscrit  au secteur des jeunes, mais qui désire compléter un préalable </w:t>
            </w:r>
            <w:r w:rsidRPr="00E310D7">
              <w:rPr>
                <w:rFonts w:ascii="Arial" w:hAnsi="Arial" w:cs="Arial"/>
                <w:b/>
                <w:sz w:val="16"/>
                <w:szCs w:val="16"/>
                <w:u w:val="single"/>
              </w:rPr>
              <w:t>à l’éducation des adultes durant l’année scolaire</w:t>
            </w:r>
            <w:r w:rsidRPr="00E310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10D7">
              <w:rPr>
                <w:rFonts w:ascii="Arial" w:hAnsi="Arial" w:cs="Arial"/>
                <w:b/>
                <w:sz w:val="16"/>
                <w:szCs w:val="16"/>
                <w:u w:val="single"/>
              </w:rPr>
              <w:t>ou en cours d’été</w:t>
            </w:r>
            <w:r w:rsidRPr="00E31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10D7">
              <w:rPr>
                <w:rFonts w:ascii="Arial" w:hAnsi="Arial" w:cs="Arial"/>
                <w:sz w:val="16"/>
                <w:szCs w:val="16"/>
              </w:rPr>
              <w:t>afin de :</w:t>
            </w:r>
          </w:p>
          <w:p w:rsidR="00D412C8" w:rsidRPr="00E310D7" w:rsidRDefault="00D412C8" w:rsidP="002C2D95">
            <w:pPr>
              <w:tabs>
                <w:tab w:val="left" w:pos="85"/>
              </w:tabs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- répondre aux préalables du DEP, DES ou aux exigences du RREC (règlement sur le régime des études collégiales).</w:t>
            </w:r>
          </w:p>
          <w:p w:rsidR="00D412C8" w:rsidRPr="00E310D7" w:rsidRDefault="00D412C8" w:rsidP="002C2D95">
            <w:pPr>
              <w:spacing w:after="120"/>
              <w:rPr>
                <w:rFonts w:ascii="Arial" w:hAnsi="Arial" w:cs="Arial"/>
                <w:i/>
                <w:color w:val="800080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ATTENTION : Certains cours ne s’offrent pas en formation à distance à l’éducation des adultes durant la période des cours d’été.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24" w:space="0" w:color="993366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spacing w:after="80"/>
              <w:ind w:left="20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L’élève est rencontré par le conseiller du secteur des jeunes.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Remplir l’outil de référence et le remettre à l’élève.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b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L’élève devra procéder à son inscription au  SARCA du centre concerné selon les périodes d’inscription.</w:t>
            </w:r>
          </w:p>
          <w:p w:rsidR="00D412C8" w:rsidRPr="00E310D7" w:rsidRDefault="00D412C8" w:rsidP="002C2D95">
            <w:pPr>
              <w:numPr>
                <w:ilvl w:val="0"/>
                <w:numId w:val="2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Un complément d’information sera transmis au SRAM au besoin par le centre d’éducation des adultes.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24" w:space="0" w:color="993366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Conseillers et conseillères en orientation ou en formation ou les directions ou les directions adjointes des écoles secondaires responsables du niveau de l’élève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24" w:space="0" w:color="993366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sz w:val="16"/>
                <w:szCs w:val="16"/>
              </w:rPr>
              <w:t>En tout temps durant l’année</w:t>
            </w: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24" w:space="0" w:color="993366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E310D7" w:rsidRDefault="00D412C8" w:rsidP="002C2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2C8" w:rsidRPr="00E310D7" w:rsidRDefault="00D412C8" w:rsidP="002C2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0D7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</w:tr>
    </w:tbl>
    <w:p w:rsidR="00D412C8" w:rsidRDefault="00D412C8"/>
    <w:tbl>
      <w:tblPr>
        <w:tblW w:w="10349" w:type="dxa"/>
        <w:jc w:val="center"/>
        <w:tblLook w:val="01E0"/>
      </w:tblPr>
      <w:tblGrid>
        <w:gridCol w:w="5070"/>
        <w:gridCol w:w="856"/>
        <w:gridCol w:w="4423"/>
      </w:tblGrid>
      <w:tr w:rsidR="00581AFF" w:rsidRPr="002D66D4" w:rsidTr="002C2D95">
        <w:trPr>
          <w:trHeight w:val="284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581AFF" w:rsidRPr="00E310D7" w:rsidRDefault="00581AFF" w:rsidP="002C2D95">
            <w:pPr>
              <w:numPr>
                <w:ilvl w:val="0"/>
                <w:numId w:val="4"/>
              </w:numPr>
              <w:tabs>
                <w:tab w:val="clear" w:pos="720"/>
              </w:tabs>
              <w:ind w:left="406" w:hanging="406"/>
              <w:rPr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t xml:space="preserve">Pour une inscription à l’éducation des adultes, </w:t>
            </w:r>
            <w:r w:rsidRPr="00E310D7">
              <w:rPr>
                <w:rFonts w:ascii="Arial" w:hAnsi="Arial" w:cs="Arial"/>
                <w:sz w:val="18"/>
                <w:szCs w:val="18"/>
              </w:rPr>
              <w:br/>
              <w:t>les documents suivants sont  exigés :</w:t>
            </w:r>
          </w:p>
        </w:tc>
        <w:tc>
          <w:tcPr>
            <w:tcW w:w="856" w:type="dxa"/>
          </w:tcPr>
          <w:p w:rsidR="00581AFF" w:rsidRPr="00E310D7" w:rsidRDefault="00581AFF" w:rsidP="002C2D95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vMerge w:val="restart"/>
          </w:tcPr>
          <w:p w:rsidR="00581AFF" w:rsidRPr="00E310D7" w:rsidRDefault="00581AFF" w:rsidP="002C2D95">
            <w:pPr>
              <w:numPr>
                <w:ilvl w:val="1"/>
                <w:numId w:val="4"/>
              </w:numPr>
              <w:tabs>
                <w:tab w:val="clear" w:pos="1440"/>
              </w:tabs>
              <w:ind w:left="376"/>
              <w:rPr>
                <w:rFonts w:ascii="Arial" w:hAnsi="Arial" w:cs="Arial"/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t>Pour toute information supplémentaire, communiquer </w:t>
            </w:r>
            <w:proofErr w:type="gramStart"/>
            <w:r w:rsidRPr="00E310D7">
              <w:rPr>
                <w:rFonts w:ascii="Arial" w:hAnsi="Arial" w:cs="Arial"/>
                <w:sz w:val="18"/>
                <w:szCs w:val="18"/>
              </w:rPr>
              <w:t>avec</w:t>
            </w:r>
            <w:r w:rsidR="008C18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D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581AFF" w:rsidRPr="002D66D4" w:rsidTr="002C2D95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581AFF" w:rsidRPr="00E310D7" w:rsidRDefault="00581AFF" w:rsidP="002C2D95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 xml:space="preserve">  Certificat de naissance</w:t>
            </w:r>
          </w:p>
        </w:tc>
        <w:tc>
          <w:tcPr>
            <w:tcW w:w="856" w:type="dxa"/>
            <w:tcMar>
              <w:top w:w="113" w:type="dxa"/>
            </w:tcMar>
          </w:tcPr>
          <w:p w:rsidR="00581AFF" w:rsidRPr="00E310D7" w:rsidRDefault="00581AFF" w:rsidP="002C2D95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vMerge/>
            <w:tcMar>
              <w:top w:w="113" w:type="dxa"/>
            </w:tcMar>
          </w:tcPr>
          <w:p w:rsidR="00581AFF" w:rsidRPr="00E310D7" w:rsidRDefault="00581AFF" w:rsidP="002C2D95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FF" w:rsidRPr="002D66D4" w:rsidTr="002C2D95">
        <w:trPr>
          <w:jc w:val="center"/>
        </w:trPr>
        <w:tc>
          <w:tcPr>
            <w:tcW w:w="5070" w:type="dxa"/>
          </w:tcPr>
          <w:p w:rsidR="00581AFF" w:rsidRDefault="00581AFF" w:rsidP="002C2D95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310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>Dernier bulletin</w:t>
            </w:r>
          </w:p>
          <w:p w:rsidR="008C18BF" w:rsidRPr="00E310D7" w:rsidRDefault="00965042" w:rsidP="002C2D95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C18BF" w:rsidRPr="00965042">
              <w:rPr>
                <w:rFonts w:ascii="Arial" w:hAnsi="Arial" w:cs="Arial"/>
                <w:b/>
                <w:sz w:val="18"/>
                <w:szCs w:val="18"/>
              </w:rPr>
              <w:t>Carte d’assurance maladie</w:t>
            </w:r>
          </w:p>
        </w:tc>
        <w:tc>
          <w:tcPr>
            <w:tcW w:w="856" w:type="dxa"/>
          </w:tcPr>
          <w:p w:rsidR="00581AFF" w:rsidRPr="00E310D7" w:rsidRDefault="00581AFF" w:rsidP="002C2D95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:rsidR="00581AFF" w:rsidRPr="00E310D7" w:rsidRDefault="00581AFF" w:rsidP="002C2D95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FF" w:rsidRPr="002D66D4" w:rsidTr="002C2D95">
        <w:trPr>
          <w:jc w:val="center"/>
        </w:trPr>
        <w:tc>
          <w:tcPr>
            <w:tcW w:w="5070" w:type="dxa"/>
          </w:tcPr>
          <w:p w:rsidR="00581AFF" w:rsidRPr="00E310D7" w:rsidRDefault="00581AFF" w:rsidP="002C2D95">
            <w:pPr>
              <w:keepNext/>
              <w:keepLines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  <w:r w:rsidRPr="00E310D7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310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>Relevé des apprentissages (4</w:t>
            </w:r>
            <w:r w:rsidRPr="00E310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 xml:space="preserve"> et 5</w:t>
            </w:r>
            <w:r w:rsidRPr="00E310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Pr="00E310D7">
              <w:rPr>
                <w:rFonts w:ascii="Arial" w:hAnsi="Arial" w:cs="Arial"/>
                <w:b/>
                <w:sz w:val="18"/>
                <w:szCs w:val="18"/>
              </w:rPr>
              <w:t xml:space="preserve"> secondaire)</w:t>
            </w:r>
          </w:p>
        </w:tc>
        <w:tc>
          <w:tcPr>
            <w:tcW w:w="856" w:type="dxa"/>
          </w:tcPr>
          <w:p w:rsidR="00581AFF" w:rsidRPr="00E310D7" w:rsidRDefault="00581AFF" w:rsidP="002C2D9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423" w:type="dxa"/>
          </w:tcPr>
          <w:p w:rsidR="00581AFF" w:rsidRPr="00E310D7" w:rsidRDefault="00581AFF" w:rsidP="002C2D9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12C8" w:rsidRDefault="00D412C8">
      <w:pPr>
        <w:sectPr w:rsidR="00D412C8" w:rsidSect="00581AFF">
          <w:pgSz w:w="12240" w:h="15840"/>
          <w:pgMar w:top="1985" w:right="1800" w:bottom="851" w:left="1800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XSpec="center" w:tblpY="1231"/>
        <w:tblW w:w="9951" w:type="dxa"/>
        <w:tblLook w:val="01E0"/>
      </w:tblPr>
      <w:tblGrid>
        <w:gridCol w:w="2994"/>
        <w:gridCol w:w="2988"/>
        <w:gridCol w:w="1701"/>
        <w:gridCol w:w="1417"/>
        <w:gridCol w:w="851"/>
      </w:tblGrid>
      <w:tr w:rsidR="00D412C8" w:rsidRPr="00B62F30" w:rsidTr="00D412C8">
        <w:tc>
          <w:tcPr>
            <w:tcW w:w="2994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D412C8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 xml:space="preserve">Situation </w:t>
            </w:r>
          </w:p>
        </w:tc>
        <w:tc>
          <w:tcPr>
            <w:tcW w:w="2988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D4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Actions à poser</w:t>
            </w:r>
          </w:p>
        </w:tc>
        <w:tc>
          <w:tcPr>
            <w:tcW w:w="1701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D4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Personne(s) responsable(s)</w:t>
            </w:r>
          </w:p>
        </w:tc>
        <w:tc>
          <w:tcPr>
            <w:tcW w:w="1417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12C8" w:rsidRPr="00B62F30" w:rsidRDefault="00D412C8" w:rsidP="00D412C8">
            <w:pPr>
              <w:ind w:left="1378" w:hanging="1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F30">
              <w:rPr>
                <w:rFonts w:ascii="Arial" w:hAnsi="Arial" w:cs="Arial"/>
                <w:sz w:val="20"/>
                <w:szCs w:val="20"/>
              </w:rPr>
              <w:t>Échéancier</w:t>
            </w:r>
          </w:p>
        </w:tc>
        <w:tc>
          <w:tcPr>
            <w:tcW w:w="851" w:type="dxa"/>
            <w:shd w:val="clear" w:color="auto" w:fill="800080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412C8" w:rsidRPr="00B62F30" w:rsidRDefault="00D412C8" w:rsidP="00D412C8">
            <w:pPr>
              <w:ind w:left="1378" w:hanging="137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Remplir</w:t>
            </w:r>
          </w:p>
          <w:p w:rsidR="00D412C8" w:rsidRPr="00B62F30" w:rsidRDefault="00D412C8" w:rsidP="00D412C8">
            <w:pPr>
              <w:ind w:left="1378" w:hanging="137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l’outil de</w:t>
            </w:r>
          </w:p>
          <w:p w:rsidR="00D412C8" w:rsidRPr="00B62F30" w:rsidRDefault="00D412C8" w:rsidP="00D412C8">
            <w:pPr>
              <w:jc w:val="center"/>
              <w:rPr>
                <w:rFonts w:ascii="Arial" w:hAnsi="Arial" w:cs="Arial"/>
                <w:color w:val="800080"/>
              </w:rPr>
            </w:pPr>
            <w:r w:rsidRPr="00B62F30">
              <w:rPr>
                <w:rFonts w:ascii="Arial" w:hAnsi="Arial" w:cs="Arial"/>
                <w:sz w:val="14"/>
                <w:szCs w:val="14"/>
              </w:rPr>
              <w:t>référence</w:t>
            </w:r>
          </w:p>
        </w:tc>
      </w:tr>
      <w:tr w:rsidR="00D412C8" w:rsidRPr="00B62F30" w:rsidTr="00D412C8">
        <w:tc>
          <w:tcPr>
            <w:tcW w:w="2994" w:type="dxa"/>
            <w:tcBorders>
              <w:bottom w:val="single" w:sz="24" w:space="0" w:color="990099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B62F30" w:rsidRDefault="00D412C8" w:rsidP="00D412C8">
            <w:pPr>
              <w:spacing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Élève inscrit en formation professionnelle en concomitance qui désire poursuivre à l’éducation des adultes.</w:t>
            </w:r>
          </w:p>
          <w:p w:rsidR="00D412C8" w:rsidRPr="00B62F30" w:rsidRDefault="00D412C8" w:rsidP="00D412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Exemples :</w:t>
            </w:r>
          </w:p>
          <w:p w:rsidR="00D412C8" w:rsidRPr="00B62F30" w:rsidRDefault="00D412C8" w:rsidP="00D412C8">
            <w:pPr>
              <w:numPr>
                <w:ilvl w:val="0"/>
                <w:numId w:val="3"/>
              </w:numPr>
              <w:tabs>
                <w:tab w:val="clear" w:pos="720"/>
                <w:tab w:val="left" w:pos="113"/>
              </w:tabs>
              <w:spacing w:after="120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Élève qui veut faire sa formation professionnelle à temps plein et veut poursuivre ses préalables (FGA) à temps partiel;</w:t>
            </w:r>
          </w:p>
          <w:p w:rsidR="00D412C8" w:rsidRPr="00E310D7" w:rsidRDefault="00D412C8" w:rsidP="00D412C8">
            <w:pPr>
              <w:numPr>
                <w:ilvl w:val="0"/>
                <w:numId w:val="3"/>
              </w:numPr>
              <w:tabs>
                <w:tab w:val="clear" w:pos="720"/>
                <w:tab w:val="num" w:pos="-41"/>
                <w:tab w:val="left" w:pos="113"/>
              </w:tabs>
              <w:spacing w:after="120"/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Élève qui quitte la formation professionnelle et souhaite poursuivre sa formation générale.</w:t>
            </w:r>
          </w:p>
        </w:tc>
        <w:tc>
          <w:tcPr>
            <w:tcW w:w="2988" w:type="dxa"/>
            <w:tcBorders>
              <w:bottom w:val="single" w:sz="24" w:space="0" w:color="9900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B62F30" w:rsidRDefault="00D412C8" w:rsidP="00D412C8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 xml:space="preserve">Remplir l’outil de référence et indiquer la raison de la référence dans la partie </w:t>
            </w:r>
            <w:r w:rsidRPr="00B62F30">
              <w:rPr>
                <w:rFonts w:ascii="Arial" w:hAnsi="Arial" w:cs="Arial"/>
                <w:i/>
                <w:sz w:val="18"/>
                <w:szCs w:val="18"/>
              </w:rPr>
              <w:t>Remarques</w:t>
            </w:r>
            <w:r w:rsidRPr="00B62F3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12C8" w:rsidRPr="00B62F30" w:rsidRDefault="00D412C8" w:rsidP="00D412C8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Acheminer le dossier au SARCA du centre concerné.</w:t>
            </w:r>
          </w:p>
          <w:p w:rsidR="00D412C8" w:rsidRPr="00B62F30" w:rsidRDefault="00D412C8" w:rsidP="00D412C8">
            <w:pPr>
              <w:numPr>
                <w:ilvl w:val="0"/>
                <w:numId w:val="1"/>
              </w:numPr>
              <w:tabs>
                <w:tab w:val="clear" w:pos="720"/>
              </w:tabs>
              <w:spacing w:after="80"/>
              <w:ind w:left="314" w:hanging="294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 xml:space="preserve"> Le centre communiquera avec l’élève.</w:t>
            </w:r>
          </w:p>
        </w:tc>
        <w:tc>
          <w:tcPr>
            <w:tcW w:w="1701" w:type="dxa"/>
            <w:tcBorders>
              <w:bottom w:val="single" w:sz="24" w:space="0" w:color="990099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B62F30" w:rsidRDefault="00D412C8" w:rsidP="00D4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Les conseillères des centres de formation professionnelle.</w:t>
            </w:r>
          </w:p>
          <w:p w:rsidR="00D412C8" w:rsidRPr="00B62F30" w:rsidRDefault="00D412C8" w:rsidP="00D4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9900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412C8" w:rsidRPr="00B62F30" w:rsidRDefault="00D412C8" w:rsidP="00D4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30">
              <w:rPr>
                <w:rFonts w:ascii="Arial" w:hAnsi="Arial" w:cs="Arial"/>
                <w:sz w:val="18"/>
                <w:szCs w:val="18"/>
              </w:rPr>
              <w:t>En tout temps.</w:t>
            </w:r>
          </w:p>
        </w:tc>
        <w:tc>
          <w:tcPr>
            <w:tcW w:w="851" w:type="dxa"/>
            <w:tcBorders>
              <w:bottom w:val="single" w:sz="24" w:space="0" w:color="990099"/>
            </w:tcBorders>
            <w:shd w:val="clear" w:color="auto" w:fill="CCCCCC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412C8" w:rsidRPr="00B62F30" w:rsidRDefault="00D412C8" w:rsidP="00D412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F30">
              <w:rPr>
                <w:rFonts w:ascii="Modern No. 20" w:hAnsi="Modern No. 20" w:cs="Arial"/>
                <w:b/>
                <w:sz w:val="36"/>
                <w:szCs w:val="36"/>
              </w:rPr>
              <w:t>√</w:t>
            </w:r>
          </w:p>
          <w:p w:rsidR="00D412C8" w:rsidRPr="00B62F30" w:rsidRDefault="00D412C8" w:rsidP="00D412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35660" w:rsidRDefault="00AB2A2E">
      <w:r>
        <w:rPr>
          <w:noProof/>
          <w:lang w:eastAsia="fr-CA"/>
        </w:rPr>
        <w:pict>
          <v:shape id="_x0000_s1026" type="#_x0000_t202" style="position:absolute;margin-left:51.05pt;margin-top:-22.8pt;width:318.2pt;height:1in;z-index:251659264;mso-position-horizontal-relative:text;mso-position-vertical-relative:text" fillcolor="#069" stroked="f" strokeweight="2.25pt">
            <v:textbox style="mso-next-textbox:#_x0000_s1026">
              <w:txbxContent>
                <w:p w:rsidR="004A1E4C" w:rsidRDefault="004A1E4C" w:rsidP="00D412C8">
                  <w:pPr>
                    <w:jc w:val="center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 w:rsidRPr="00B20723"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 xml:space="preserve">Protocole de référence </w:t>
                  </w: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br/>
                    <w:t>de la formation professionnelle (concomitance)</w:t>
                  </w:r>
                  <w:r w:rsidRPr="00B20723"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 xml:space="preserve"> vers un centre d’éducation des adultes</w:t>
                  </w:r>
                </w:p>
                <w:p w:rsidR="004A1E4C" w:rsidRPr="00B20723" w:rsidRDefault="004A1E4C" w:rsidP="00D412C8">
                  <w:pPr>
                    <w:jc w:val="center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>(16 ans au 30 juin)</w:t>
                  </w:r>
                </w:p>
              </w:txbxContent>
            </v:textbox>
          </v:shape>
        </w:pict>
      </w:r>
    </w:p>
    <w:sectPr w:rsidR="00435660" w:rsidSect="00D412C8"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mso77"/>
      </v:shape>
    </w:pict>
  </w:numPicBullet>
  <w:abstractNum w:abstractNumId="0">
    <w:nsid w:val="0F05570B"/>
    <w:multiLevelType w:val="hybridMultilevel"/>
    <w:tmpl w:val="8AFA18B0"/>
    <w:lvl w:ilvl="0" w:tplc="DF2C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44950"/>
    <w:multiLevelType w:val="hybridMultilevel"/>
    <w:tmpl w:val="104CB950"/>
    <w:lvl w:ilvl="0" w:tplc="B9324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E5199"/>
    <w:multiLevelType w:val="hybridMultilevel"/>
    <w:tmpl w:val="5D341F04"/>
    <w:lvl w:ilvl="0" w:tplc="0FF6B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56D8FE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0"/>
        <w:szCs w:val="3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A1D90"/>
    <w:multiLevelType w:val="hybridMultilevel"/>
    <w:tmpl w:val="2F10D66A"/>
    <w:lvl w:ilvl="0" w:tplc="45983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revisionView w:inkAnnotations="0"/>
  <w:defaultTabStop w:val="708"/>
  <w:hyphenationZone w:val="425"/>
  <w:characterSpacingControl w:val="doNotCompress"/>
  <w:compat/>
  <w:rsids>
    <w:rsidRoot w:val="00D412C8"/>
    <w:rsid w:val="000C637C"/>
    <w:rsid w:val="001E256F"/>
    <w:rsid w:val="001E7575"/>
    <w:rsid w:val="002C2D95"/>
    <w:rsid w:val="0036211F"/>
    <w:rsid w:val="00435660"/>
    <w:rsid w:val="00470D9B"/>
    <w:rsid w:val="004A1E4C"/>
    <w:rsid w:val="00581AFF"/>
    <w:rsid w:val="005C1724"/>
    <w:rsid w:val="006C1303"/>
    <w:rsid w:val="008C18BF"/>
    <w:rsid w:val="00965042"/>
    <w:rsid w:val="00AB2A2E"/>
    <w:rsid w:val="00C7214E"/>
    <w:rsid w:val="00D412C8"/>
    <w:rsid w:val="00EE73A4"/>
    <w:rsid w:val="00FE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45F5-A292-47E7-A330-2AA569C6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Leroux</dc:creator>
  <cp:keywords/>
  <dc:description/>
  <cp:lastModifiedBy>Danielle Barbeau</cp:lastModifiedBy>
  <cp:revision>5</cp:revision>
  <dcterms:created xsi:type="dcterms:W3CDTF">2013-05-24T14:19:00Z</dcterms:created>
  <dcterms:modified xsi:type="dcterms:W3CDTF">2013-06-19T15:38:00Z</dcterms:modified>
</cp:coreProperties>
</file>